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77777777"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2021-2022</w:t>
      </w:r>
    </w:p>
    <w:p w14:paraId="70CDCD9F" w14:textId="77777777" w:rsidR="00A769D4" w:rsidRPr="00576D58" w:rsidRDefault="00A769D4" w:rsidP="00CF4755">
      <w:pPr>
        <w:pStyle w:val="Sinespaciado"/>
        <w:jc w:val="center"/>
        <w:rPr>
          <w:rFonts w:ascii="Edwardian Script ITC" w:hAnsi="Edwardian Script ITC" w:cs="Arial"/>
          <w:b/>
          <w:sz w:val="18"/>
          <w:szCs w:val="18"/>
          <w:highlight w:val="yellow"/>
        </w:rPr>
      </w:pPr>
    </w:p>
    <w:p w14:paraId="5DE43464" w14:textId="2256C69A" w:rsidR="003730B4" w:rsidRDefault="00E8300E" w:rsidP="003730B4">
      <w:pPr>
        <w:pStyle w:val="Sinespaciado"/>
        <w:jc w:val="both"/>
        <w:rPr>
          <w:rFonts w:ascii="Arial" w:hAnsi="Arial" w:cs="Arial"/>
          <w:b/>
          <w:sz w:val="23"/>
          <w:szCs w:val="23"/>
        </w:rPr>
      </w:pPr>
      <w:r w:rsidRPr="00970E02">
        <w:rPr>
          <w:rFonts w:ascii="Arial" w:hAnsi="Arial" w:cs="Arial"/>
          <w:b/>
          <w:bCs/>
          <w:sz w:val="23"/>
          <w:szCs w:val="23"/>
        </w:rPr>
        <w:t>TEXTO DEFINITIVO APROBADO EN PRIMER DEBATE DEL PROYECTO DE LEY</w:t>
      </w:r>
      <w:r w:rsidRPr="00970E02">
        <w:rPr>
          <w:rFonts w:ascii="Arial" w:hAnsi="Arial" w:cs="Arial"/>
          <w:b/>
          <w:sz w:val="23"/>
          <w:szCs w:val="23"/>
        </w:rPr>
        <w:t xml:space="preserve"> </w:t>
      </w:r>
      <w:bookmarkStart w:id="0" w:name="_GoBack"/>
      <w:bookmarkEnd w:id="0"/>
      <w:r w:rsidR="005B6807" w:rsidRPr="00B45F60">
        <w:rPr>
          <w:rFonts w:ascii="Arial" w:hAnsi="Arial" w:cs="Arial"/>
          <w:b/>
          <w:bCs/>
        </w:rPr>
        <w:t>No. 168</w:t>
      </w:r>
      <w:r w:rsidR="005B6807" w:rsidRPr="00B45F60">
        <w:rPr>
          <w:rStyle w:val="Textoennegrita"/>
          <w:rFonts w:ascii="Arial" w:hAnsi="Arial" w:cs="Arial"/>
        </w:rPr>
        <w:t xml:space="preserve"> DE 2021 CÁMARA </w:t>
      </w:r>
      <w:r w:rsidR="005B6807" w:rsidRPr="00B45F60">
        <w:rPr>
          <w:rFonts w:ascii="Arial" w:hAnsi="Arial" w:cs="Arial"/>
          <w:b/>
          <w:bCs/>
        </w:rPr>
        <w:t>“POR MEDIO DE</w:t>
      </w:r>
      <w:r w:rsidR="005B6807">
        <w:rPr>
          <w:rFonts w:ascii="Arial" w:hAnsi="Arial" w:cs="Arial"/>
          <w:b/>
          <w:bCs/>
        </w:rPr>
        <w:t>L</w:t>
      </w:r>
      <w:r w:rsidR="005B6807" w:rsidRPr="00B45F60">
        <w:rPr>
          <w:rFonts w:ascii="Arial" w:hAnsi="Arial" w:cs="Arial"/>
          <w:b/>
          <w:bCs/>
        </w:rPr>
        <w:t xml:space="preserve"> CUAL SE DICTAN </w:t>
      </w:r>
      <w:r w:rsidR="005B6807" w:rsidRPr="00B45F60">
        <w:rPr>
          <w:rFonts w:ascii="Arial" w:hAnsi="Arial" w:cs="Arial"/>
          <w:b/>
          <w:bCs/>
          <w:iCs/>
        </w:rPr>
        <w:t>DISPOSICIONES EN MATERIA DE INSTALACIÓN OBLIGATORIA DE BEBEDEROS EN ESPACIO PÚBLICO</w:t>
      </w:r>
      <w:r w:rsidR="005B6807" w:rsidRPr="00B45F60">
        <w:rPr>
          <w:rFonts w:ascii="Arial" w:hAnsi="Arial" w:cs="Arial"/>
          <w:b/>
          <w:bCs/>
        </w:rPr>
        <w:t>”</w:t>
      </w:r>
      <w:r w:rsidR="005B6807">
        <w:rPr>
          <w:rFonts w:ascii="Arial" w:hAnsi="Arial" w:cs="Arial"/>
          <w:b/>
          <w:bCs/>
          <w:color w:val="000000" w:themeColor="text1"/>
        </w:rPr>
        <w:t>.</w:t>
      </w:r>
      <w:r w:rsidR="002254D9" w:rsidRPr="002254D9">
        <w:rPr>
          <w:rFonts w:ascii="Arial" w:hAnsi="Arial" w:cs="Arial"/>
          <w:b/>
          <w:sz w:val="23"/>
          <w:szCs w:val="23"/>
        </w:rPr>
        <w:t xml:space="preserve"> </w:t>
      </w:r>
    </w:p>
    <w:p w14:paraId="6FB4E5E7" w14:textId="77777777" w:rsidR="002254D9" w:rsidRPr="00970E02" w:rsidRDefault="002254D9" w:rsidP="003730B4">
      <w:pPr>
        <w:pStyle w:val="Sinespaciado"/>
        <w:jc w:val="both"/>
        <w:rPr>
          <w:rFonts w:ascii="Arial" w:hAnsi="Arial" w:cs="Arial"/>
          <w:b/>
          <w:sz w:val="23"/>
          <w:szCs w:val="23"/>
        </w:rPr>
      </w:pPr>
    </w:p>
    <w:p w14:paraId="69566137" w14:textId="4F4F90AA" w:rsidR="002717D1" w:rsidRPr="00970E02" w:rsidRDefault="002717D1" w:rsidP="00980BFE">
      <w:pPr>
        <w:pStyle w:val="Sinespaciado"/>
        <w:jc w:val="center"/>
        <w:rPr>
          <w:rFonts w:ascii="Arial" w:hAnsi="Arial" w:cs="Arial"/>
          <w:sz w:val="23"/>
          <w:szCs w:val="23"/>
        </w:rPr>
      </w:pPr>
      <w:r w:rsidRPr="00970E02">
        <w:rPr>
          <w:rFonts w:ascii="Arial" w:hAnsi="Arial" w:cs="Arial"/>
          <w:sz w:val="23"/>
          <w:szCs w:val="23"/>
        </w:rPr>
        <w:t xml:space="preserve">(Aprobado en la </w:t>
      </w:r>
      <w:r w:rsidR="004C6DF0" w:rsidRPr="00970E02">
        <w:rPr>
          <w:rFonts w:ascii="Arial" w:hAnsi="Arial" w:cs="Arial"/>
          <w:sz w:val="23"/>
          <w:szCs w:val="23"/>
        </w:rPr>
        <w:t xml:space="preserve">Sesión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81758C">
        <w:rPr>
          <w:rFonts w:ascii="Arial" w:hAnsi="Arial" w:cs="Arial"/>
          <w:sz w:val="23"/>
          <w:szCs w:val="23"/>
        </w:rPr>
        <w:t>27</w:t>
      </w:r>
      <w:r w:rsidR="008D5A55" w:rsidRPr="00970E02">
        <w:rPr>
          <w:rFonts w:ascii="Arial" w:hAnsi="Arial" w:cs="Arial"/>
          <w:sz w:val="23"/>
          <w:szCs w:val="23"/>
        </w:rPr>
        <w:t xml:space="preserve"> </w:t>
      </w:r>
      <w:r w:rsidR="007E2AD8" w:rsidRPr="00970E02">
        <w:rPr>
          <w:rFonts w:ascii="Arial" w:hAnsi="Arial" w:cs="Arial"/>
          <w:sz w:val="23"/>
          <w:szCs w:val="23"/>
        </w:rPr>
        <w:t xml:space="preserve">de </w:t>
      </w:r>
      <w:r w:rsidR="00970E02" w:rsidRPr="00970E02">
        <w:rPr>
          <w:rFonts w:ascii="Arial" w:hAnsi="Arial" w:cs="Arial"/>
          <w:sz w:val="23"/>
          <w:szCs w:val="23"/>
        </w:rPr>
        <w:t>abril</w:t>
      </w:r>
      <w:r w:rsidR="00F117D5" w:rsidRPr="00970E02">
        <w:rPr>
          <w:rFonts w:ascii="Arial" w:hAnsi="Arial" w:cs="Arial"/>
          <w:sz w:val="23"/>
          <w:szCs w:val="23"/>
        </w:rPr>
        <w:t xml:space="preserve"> 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81758C">
        <w:rPr>
          <w:rFonts w:ascii="Arial" w:hAnsi="Arial" w:cs="Arial"/>
          <w:sz w:val="23"/>
          <w:szCs w:val="23"/>
        </w:rPr>
        <w:t>41</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7B97900" w:rsidR="00EA48F0" w:rsidRPr="00970E02" w:rsidRDefault="00EA48F0" w:rsidP="00980BFE">
      <w:pPr>
        <w:pStyle w:val="Sinespaciado"/>
        <w:jc w:val="center"/>
        <w:rPr>
          <w:rFonts w:ascii="Arial" w:hAnsi="Arial" w:cs="Arial"/>
          <w:b/>
          <w:sz w:val="23"/>
          <w:szCs w:val="23"/>
        </w:rPr>
      </w:pPr>
      <w:r w:rsidRPr="00970E02">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172ACEB6" w14:textId="77777777" w:rsidR="004542CF" w:rsidRPr="004542CF" w:rsidRDefault="004542CF" w:rsidP="004542CF">
      <w:pPr>
        <w:pStyle w:val="Sinespaciado"/>
        <w:jc w:val="both"/>
        <w:rPr>
          <w:rFonts w:ascii="Arial" w:hAnsi="Arial" w:cs="Arial"/>
        </w:rPr>
      </w:pPr>
      <w:r w:rsidRPr="004542CF">
        <w:rPr>
          <w:rFonts w:ascii="Arial" w:hAnsi="Arial" w:cs="Arial"/>
          <w:b/>
        </w:rPr>
        <w:t>Artículo 1°. - Objeto.</w:t>
      </w:r>
      <w:r w:rsidRPr="004542CF">
        <w:rPr>
          <w:rFonts w:ascii="Arial" w:hAnsi="Arial" w:cs="Arial"/>
        </w:rPr>
        <w:t xml:space="preserve"> Dotar de bebederos de agua potable destinados al consumo por parte de la ciudadanía en el espacio público.</w:t>
      </w:r>
    </w:p>
    <w:p w14:paraId="6048D0A4" w14:textId="77777777" w:rsidR="004542CF" w:rsidRPr="004542CF" w:rsidRDefault="004542CF" w:rsidP="004542CF">
      <w:pPr>
        <w:pStyle w:val="Sinespaciado"/>
        <w:jc w:val="both"/>
        <w:rPr>
          <w:rFonts w:ascii="Arial" w:hAnsi="Arial" w:cs="Arial"/>
        </w:rPr>
      </w:pPr>
    </w:p>
    <w:p w14:paraId="64790A14" w14:textId="77777777" w:rsidR="004542CF" w:rsidRPr="004542CF" w:rsidRDefault="004542CF" w:rsidP="004542CF">
      <w:pPr>
        <w:pStyle w:val="Sinespaciado"/>
        <w:jc w:val="both"/>
        <w:rPr>
          <w:rFonts w:ascii="Arial" w:hAnsi="Arial" w:cs="Arial"/>
        </w:rPr>
      </w:pPr>
      <w:r w:rsidRPr="004542CF">
        <w:rPr>
          <w:rFonts w:ascii="Arial" w:hAnsi="Arial" w:cs="Arial"/>
          <w:b/>
        </w:rPr>
        <w:t xml:space="preserve">Artículo 2°. - Cantidad. </w:t>
      </w:r>
      <w:r w:rsidRPr="004542CF">
        <w:rPr>
          <w:rFonts w:ascii="Arial" w:hAnsi="Arial" w:cs="Arial"/>
        </w:rPr>
        <w:t>La cantidad de bebederos de agua será determinada por la Secretaría de Planeación, o quien sea la entidad determinada como competente para el ejercicio de esta función, en cuenta el Plan de Ordenamiento Territorial y criterios de necesidad, disponibilidad del recurso hídrico y número de habitantes</w:t>
      </w:r>
    </w:p>
    <w:p w14:paraId="2E1E24BA" w14:textId="77777777" w:rsidR="004542CF" w:rsidRDefault="004542CF" w:rsidP="004542CF">
      <w:pPr>
        <w:pStyle w:val="Sinespaciado"/>
        <w:jc w:val="both"/>
        <w:rPr>
          <w:rFonts w:ascii="Arial" w:hAnsi="Arial" w:cs="Arial"/>
          <w:b/>
        </w:rPr>
      </w:pPr>
    </w:p>
    <w:p w14:paraId="12848DB1" w14:textId="5573B5A8" w:rsidR="004542CF" w:rsidRDefault="004542CF" w:rsidP="004542CF">
      <w:pPr>
        <w:pStyle w:val="Sinespaciado"/>
        <w:jc w:val="both"/>
        <w:rPr>
          <w:rFonts w:ascii="Arial" w:hAnsi="Arial" w:cs="Arial"/>
        </w:rPr>
      </w:pPr>
      <w:r w:rsidRPr="004542CF">
        <w:rPr>
          <w:rFonts w:ascii="Arial" w:hAnsi="Arial" w:cs="Arial"/>
          <w:b/>
        </w:rPr>
        <w:t>Artículo 3°. - Características.</w:t>
      </w:r>
      <w:r w:rsidRPr="004542CF">
        <w:rPr>
          <w:rFonts w:ascii="Arial" w:hAnsi="Arial" w:cs="Arial"/>
        </w:rPr>
        <w:t xml:space="preserve"> Los bebederos de agua deberán cumplir con las siguientes características:</w:t>
      </w:r>
    </w:p>
    <w:p w14:paraId="530CCFD0" w14:textId="77777777" w:rsidR="004542CF" w:rsidRPr="004542CF" w:rsidRDefault="004542CF" w:rsidP="004542CF">
      <w:pPr>
        <w:pStyle w:val="Sinespaciado"/>
        <w:jc w:val="both"/>
        <w:rPr>
          <w:rFonts w:ascii="Arial" w:hAnsi="Arial" w:cs="Arial"/>
        </w:rPr>
      </w:pPr>
    </w:p>
    <w:p w14:paraId="023C6C69" w14:textId="77777777" w:rsidR="004542CF" w:rsidRPr="004542CF" w:rsidRDefault="004542CF" w:rsidP="004542CF">
      <w:pPr>
        <w:pStyle w:val="Sinespaciado"/>
        <w:jc w:val="both"/>
        <w:rPr>
          <w:rFonts w:ascii="Arial" w:hAnsi="Arial" w:cs="Arial"/>
        </w:rPr>
      </w:pPr>
      <w:r w:rsidRPr="004542CF">
        <w:rPr>
          <w:rFonts w:ascii="Arial" w:hAnsi="Arial" w:cs="Arial"/>
        </w:rPr>
        <w:t>a) Contar con un mecanismo adecuado que impida que viertan agua en forma constante;</w:t>
      </w:r>
    </w:p>
    <w:p w14:paraId="6317B8F5" w14:textId="77777777" w:rsidR="004542CF" w:rsidRPr="004542CF" w:rsidRDefault="004542CF" w:rsidP="004542CF">
      <w:pPr>
        <w:pStyle w:val="Sinespaciado"/>
        <w:jc w:val="both"/>
        <w:rPr>
          <w:rFonts w:ascii="Arial" w:hAnsi="Arial" w:cs="Arial"/>
        </w:rPr>
      </w:pPr>
      <w:r w:rsidRPr="004542CF">
        <w:rPr>
          <w:rFonts w:ascii="Arial" w:hAnsi="Arial" w:cs="Arial"/>
        </w:rPr>
        <w:t>b) Mantenerse en perfectas condiciones de higiene y funcionamiento, evitando la contaminación del agua; para garantizar la entrega del líquido en condiciones de potabilización, que no ponga en riesgo la salud de los usuarios;</w:t>
      </w:r>
    </w:p>
    <w:p w14:paraId="201F6D6B" w14:textId="77777777" w:rsidR="004542CF" w:rsidRPr="004542CF" w:rsidRDefault="004542CF" w:rsidP="004542CF">
      <w:pPr>
        <w:pStyle w:val="Sinespaciado"/>
        <w:jc w:val="both"/>
        <w:rPr>
          <w:rFonts w:ascii="Arial" w:hAnsi="Arial" w:cs="Arial"/>
        </w:rPr>
      </w:pPr>
      <w:r w:rsidRPr="004542CF">
        <w:rPr>
          <w:rFonts w:ascii="Arial" w:hAnsi="Arial" w:cs="Arial"/>
        </w:rPr>
        <w:t>c) Permitir su utilización sin que las manos deban entrar en contacto con el agua y sin que los labios deban tocar algún elemento de su estructura;</w:t>
      </w:r>
    </w:p>
    <w:p w14:paraId="70B56741" w14:textId="77777777" w:rsidR="004542CF" w:rsidRPr="004542CF" w:rsidRDefault="004542CF" w:rsidP="004542CF">
      <w:pPr>
        <w:pStyle w:val="Sinespaciado"/>
        <w:jc w:val="both"/>
        <w:rPr>
          <w:rFonts w:ascii="Arial" w:hAnsi="Arial" w:cs="Arial"/>
        </w:rPr>
      </w:pPr>
      <w:r w:rsidRPr="004542CF">
        <w:rPr>
          <w:rFonts w:ascii="Arial" w:hAnsi="Arial" w:cs="Arial"/>
        </w:rPr>
        <w:t>d) Posibilitar su utilización a personas con discapacidad;</w:t>
      </w:r>
    </w:p>
    <w:p w14:paraId="7A470A17" w14:textId="77777777" w:rsidR="004542CF" w:rsidRPr="004542CF" w:rsidRDefault="004542CF" w:rsidP="004542CF">
      <w:pPr>
        <w:pStyle w:val="Sinespaciado"/>
        <w:jc w:val="both"/>
        <w:rPr>
          <w:rFonts w:ascii="Arial" w:hAnsi="Arial" w:cs="Arial"/>
        </w:rPr>
      </w:pPr>
      <w:r w:rsidRPr="004542CF">
        <w:rPr>
          <w:rFonts w:ascii="Arial" w:hAnsi="Arial" w:cs="Arial"/>
        </w:rPr>
        <w:t>e) Poseer una altura adecuada para su uso por parte de las personas de distintas edades. de acuerdo a lineamientos técnicos;</w:t>
      </w:r>
    </w:p>
    <w:p w14:paraId="125B20B3" w14:textId="77777777" w:rsidR="004542CF" w:rsidRPr="004542CF" w:rsidRDefault="004542CF" w:rsidP="004542CF">
      <w:pPr>
        <w:pStyle w:val="Sinespaciado"/>
        <w:jc w:val="both"/>
        <w:rPr>
          <w:rFonts w:ascii="Arial" w:hAnsi="Arial" w:cs="Arial"/>
        </w:rPr>
      </w:pPr>
      <w:r w:rsidRPr="004542CF">
        <w:rPr>
          <w:rFonts w:ascii="Arial" w:hAnsi="Arial" w:cs="Arial"/>
        </w:rPr>
        <w:t>f) El sitio donde se instale el bebedero debe contar con la respectiva señalización donde se informe a la comunidad acerca el correcto uso de dicho elemento;</w:t>
      </w:r>
    </w:p>
    <w:p w14:paraId="4D022EBF" w14:textId="77777777" w:rsidR="004542CF" w:rsidRPr="004542CF" w:rsidRDefault="004542CF" w:rsidP="004542CF">
      <w:pPr>
        <w:pStyle w:val="Sinespaciado"/>
        <w:jc w:val="both"/>
        <w:rPr>
          <w:rFonts w:ascii="Arial" w:hAnsi="Arial" w:cs="Arial"/>
        </w:rPr>
      </w:pPr>
      <w:r w:rsidRPr="004542CF">
        <w:rPr>
          <w:rFonts w:ascii="Arial" w:hAnsi="Arial" w:cs="Arial"/>
        </w:rPr>
        <w:t>g) Las características de los bebederos deben imposibilitar el acceso de los animales y su contacto directo con la pluma o boquilla;</w:t>
      </w:r>
    </w:p>
    <w:p w14:paraId="67C8264F" w14:textId="77777777" w:rsidR="004542CF" w:rsidRPr="004542CF" w:rsidRDefault="004542CF" w:rsidP="004542CF">
      <w:pPr>
        <w:pStyle w:val="Sinespaciado"/>
        <w:jc w:val="both"/>
        <w:rPr>
          <w:rFonts w:ascii="Arial" w:hAnsi="Arial" w:cs="Arial"/>
        </w:rPr>
      </w:pPr>
      <w:r w:rsidRPr="004542CF">
        <w:rPr>
          <w:rFonts w:ascii="Arial" w:hAnsi="Arial" w:cs="Arial"/>
        </w:rPr>
        <w:t>h) Estar fabricado con materiales de larga duración que les permitan resistir climas extremos y condiciones naturales como el sol, la lluvia y hasta golpes ocasionados accidentalmente</w:t>
      </w:r>
    </w:p>
    <w:p w14:paraId="04728523" w14:textId="77777777" w:rsidR="004542CF" w:rsidRPr="004542CF" w:rsidRDefault="004542CF" w:rsidP="004542CF">
      <w:pPr>
        <w:pStyle w:val="Sinespaciado"/>
        <w:jc w:val="both"/>
        <w:rPr>
          <w:rFonts w:ascii="Arial" w:hAnsi="Arial" w:cs="Arial"/>
        </w:rPr>
      </w:pPr>
      <w:r w:rsidRPr="004542CF">
        <w:rPr>
          <w:rFonts w:ascii="Arial" w:hAnsi="Arial" w:cs="Arial"/>
        </w:rPr>
        <w:t>i). Incorporar un adecuado sistema de drenaje y filtración para evitar la acumulación de agua estancada, su contaminación y eventual asentamiento de insectos y bacterias libre de sarro y partículas de metales pesados, como las provenientes de desprendimientos de tuberías, entre otros contaminantes que pondrían en riesgo la salud de los ciudadanos.</w:t>
      </w:r>
    </w:p>
    <w:p w14:paraId="386A3A6D" w14:textId="77777777" w:rsidR="004542CF" w:rsidRPr="004542CF" w:rsidRDefault="004542CF" w:rsidP="004542CF">
      <w:pPr>
        <w:pStyle w:val="Sinespaciado"/>
        <w:jc w:val="both"/>
        <w:rPr>
          <w:rFonts w:ascii="Arial" w:hAnsi="Arial" w:cs="Arial"/>
        </w:rPr>
      </w:pPr>
    </w:p>
    <w:p w14:paraId="5E502F9A" w14:textId="77777777" w:rsidR="004542CF" w:rsidRPr="004542CF" w:rsidRDefault="004542CF" w:rsidP="004542CF">
      <w:pPr>
        <w:pStyle w:val="Sinespaciado"/>
        <w:jc w:val="both"/>
        <w:rPr>
          <w:rFonts w:ascii="Arial" w:hAnsi="Arial" w:cs="Arial"/>
          <w:u w:val="single"/>
        </w:rPr>
      </w:pPr>
      <w:r w:rsidRPr="004542CF">
        <w:rPr>
          <w:rFonts w:ascii="Arial" w:hAnsi="Arial" w:cs="Arial"/>
          <w:b/>
        </w:rPr>
        <w:t>Artículo 4º. - Ajustes razonables.</w:t>
      </w:r>
      <w:r w:rsidRPr="004542CF">
        <w:rPr>
          <w:rFonts w:ascii="Arial" w:hAnsi="Arial" w:cs="Arial"/>
        </w:rPr>
        <w:t xml:space="preserve"> En el caso de existir bebederos que, a pesar de ser técnicamente funcionales, pero que no cuenten con el debido acceso para las personas con discapacidad, se invertirá la partida presupuestal necesaria para realizar el ajuste razonable para que estén al servicio de la PcD</w:t>
      </w:r>
    </w:p>
    <w:p w14:paraId="453F1624" w14:textId="77777777" w:rsidR="004542CF" w:rsidRPr="004542CF" w:rsidRDefault="004542CF" w:rsidP="004542CF">
      <w:pPr>
        <w:pStyle w:val="Sinespaciado"/>
        <w:jc w:val="both"/>
        <w:rPr>
          <w:rFonts w:ascii="Arial" w:hAnsi="Arial" w:cs="Arial"/>
        </w:rPr>
      </w:pPr>
    </w:p>
    <w:p w14:paraId="20412BD6" w14:textId="77777777" w:rsidR="004542CF" w:rsidRPr="004542CF" w:rsidRDefault="004542CF" w:rsidP="004542CF">
      <w:pPr>
        <w:pStyle w:val="Sinespaciado"/>
        <w:jc w:val="both"/>
        <w:rPr>
          <w:rFonts w:ascii="Arial" w:hAnsi="Arial" w:cs="Arial"/>
        </w:rPr>
      </w:pPr>
      <w:r w:rsidRPr="004542CF">
        <w:rPr>
          <w:rFonts w:ascii="Arial" w:hAnsi="Arial" w:cs="Arial"/>
          <w:b/>
        </w:rPr>
        <w:t>Artículo 5°. - Ubicación.</w:t>
      </w:r>
      <w:r w:rsidRPr="004542CF">
        <w:rPr>
          <w:rFonts w:ascii="Arial" w:hAnsi="Arial" w:cs="Arial"/>
        </w:rPr>
        <w:t xml:space="preserve"> Los bebederos de agua deben ubicarse, prioritariamente, en Instituciones Educativas Públicas; Hogares Infantiles y Centros de Desarrollo Infantil a cargo del ICBF; espacios públicos utilizados para llevar a cabo actividades culturales, recreativas o deportivas y donde haya flujo alto de personas.</w:t>
      </w:r>
    </w:p>
    <w:p w14:paraId="7F3B7287" w14:textId="77777777" w:rsidR="004542CF" w:rsidRPr="004542CF" w:rsidRDefault="004542CF" w:rsidP="004542CF">
      <w:pPr>
        <w:pStyle w:val="Sinespaciado"/>
        <w:jc w:val="both"/>
        <w:rPr>
          <w:rFonts w:ascii="Arial" w:hAnsi="Arial" w:cs="Arial"/>
        </w:rPr>
      </w:pPr>
    </w:p>
    <w:p w14:paraId="26A59151" w14:textId="77777777" w:rsidR="004542CF" w:rsidRPr="004542CF" w:rsidRDefault="004542CF" w:rsidP="004542CF">
      <w:pPr>
        <w:pStyle w:val="Sinespaciado"/>
        <w:jc w:val="both"/>
        <w:rPr>
          <w:rFonts w:ascii="Arial" w:hAnsi="Arial" w:cs="Arial"/>
        </w:rPr>
      </w:pPr>
      <w:r w:rsidRPr="004542CF">
        <w:rPr>
          <w:rFonts w:ascii="Arial" w:hAnsi="Arial" w:cs="Arial"/>
        </w:rPr>
        <w:t xml:space="preserve">Los bebederos de agua deberán ubicarse siempre alejados de instalaciones que generen riesgos a la salud pública. </w:t>
      </w:r>
    </w:p>
    <w:p w14:paraId="38C49609" w14:textId="77777777" w:rsidR="004542CF" w:rsidRPr="004542CF" w:rsidRDefault="004542CF" w:rsidP="004542CF">
      <w:pPr>
        <w:pStyle w:val="Sinespaciado"/>
        <w:jc w:val="both"/>
        <w:rPr>
          <w:rFonts w:ascii="Arial" w:hAnsi="Arial" w:cs="Arial"/>
        </w:rPr>
      </w:pPr>
    </w:p>
    <w:p w14:paraId="68BCA74A" w14:textId="77777777" w:rsidR="004542CF" w:rsidRPr="004542CF" w:rsidRDefault="004542CF" w:rsidP="004542CF">
      <w:pPr>
        <w:pStyle w:val="Sinespaciado"/>
        <w:jc w:val="both"/>
        <w:rPr>
          <w:rFonts w:ascii="Arial" w:hAnsi="Arial" w:cs="Arial"/>
        </w:rPr>
      </w:pPr>
      <w:r w:rsidRPr="004542CF">
        <w:rPr>
          <w:rFonts w:ascii="Arial" w:hAnsi="Arial" w:cs="Arial"/>
          <w:b/>
        </w:rPr>
        <w:t>Artículo 6°.</w:t>
      </w:r>
      <w:r w:rsidRPr="004542CF">
        <w:rPr>
          <w:rFonts w:ascii="Arial" w:hAnsi="Arial" w:cs="Arial"/>
        </w:rPr>
        <w:t xml:space="preserve"> </w:t>
      </w:r>
      <w:r w:rsidRPr="004542CF">
        <w:rPr>
          <w:rFonts w:ascii="Arial" w:hAnsi="Arial" w:cs="Arial"/>
          <w:b/>
        </w:rPr>
        <w:t>Autoridades responsables.</w:t>
      </w:r>
      <w:r w:rsidRPr="004542CF">
        <w:rPr>
          <w:rFonts w:ascii="Arial" w:hAnsi="Arial" w:cs="Arial"/>
        </w:rPr>
        <w:t xml:space="preserve"> Las autoridades responsables de la supervisión de la correcta aplicación de la presente ley serán, o quien haga sus veces en el nivel territorial correspondiente, las siguientes:</w:t>
      </w:r>
    </w:p>
    <w:p w14:paraId="286AC1CA" w14:textId="77777777" w:rsidR="004542CF" w:rsidRPr="004542CF" w:rsidRDefault="004542CF" w:rsidP="004542CF">
      <w:pPr>
        <w:pStyle w:val="Sinespaciado"/>
        <w:jc w:val="both"/>
        <w:rPr>
          <w:rFonts w:ascii="Arial" w:hAnsi="Arial" w:cs="Arial"/>
        </w:rPr>
      </w:pPr>
    </w:p>
    <w:p w14:paraId="2299182F" w14:textId="77777777" w:rsidR="004542CF" w:rsidRPr="004542CF" w:rsidRDefault="004542CF" w:rsidP="004542CF">
      <w:pPr>
        <w:pStyle w:val="Sinespaciado"/>
        <w:jc w:val="both"/>
        <w:rPr>
          <w:rFonts w:ascii="Arial" w:hAnsi="Arial" w:cs="Arial"/>
        </w:rPr>
      </w:pPr>
      <w:r w:rsidRPr="004542CF">
        <w:rPr>
          <w:rFonts w:ascii="Arial" w:hAnsi="Arial" w:cs="Arial"/>
        </w:rPr>
        <w:t xml:space="preserve">a) La Secretaría de Planeación o quien haga sus veces; </w:t>
      </w:r>
    </w:p>
    <w:p w14:paraId="66418695" w14:textId="77777777" w:rsidR="004542CF" w:rsidRPr="004542CF" w:rsidRDefault="004542CF" w:rsidP="004542CF">
      <w:pPr>
        <w:pStyle w:val="Sinespaciado"/>
        <w:jc w:val="both"/>
        <w:rPr>
          <w:rFonts w:ascii="Arial" w:hAnsi="Arial" w:cs="Arial"/>
        </w:rPr>
      </w:pPr>
      <w:r w:rsidRPr="004542CF">
        <w:rPr>
          <w:rFonts w:ascii="Arial" w:hAnsi="Arial" w:cs="Arial"/>
        </w:rPr>
        <w:t xml:space="preserve">b) La Secretaría de Hábitat o quien haga sus veces; y </w:t>
      </w:r>
    </w:p>
    <w:p w14:paraId="7AD4F537" w14:textId="77777777" w:rsidR="004542CF" w:rsidRPr="004542CF" w:rsidRDefault="004542CF" w:rsidP="004542CF">
      <w:pPr>
        <w:pStyle w:val="Sinespaciado"/>
        <w:jc w:val="both"/>
        <w:rPr>
          <w:rFonts w:ascii="Arial" w:hAnsi="Arial" w:cs="Arial"/>
        </w:rPr>
      </w:pPr>
      <w:r w:rsidRPr="004542CF">
        <w:rPr>
          <w:rFonts w:ascii="Arial" w:hAnsi="Arial" w:cs="Arial"/>
        </w:rPr>
        <w:t>c) La Secretaría de Salud.</w:t>
      </w:r>
    </w:p>
    <w:p w14:paraId="56D03F2F" w14:textId="77777777" w:rsidR="004542CF" w:rsidRPr="004542CF" w:rsidRDefault="004542CF" w:rsidP="004542CF">
      <w:pPr>
        <w:pStyle w:val="Sinespaciado"/>
        <w:jc w:val="both"/>
        <w:rPr>
          <w:rFonts w:ascii="Arial" w:hAnsi="Arial" w:cs="Arial"/>
          <w:b/>
        </w:rPr>
      </w:pPr>
    </w:p>
    <w:p w14:paraId="0E14BFD3" w14:textId="77777777" w:rsidR="004542CF" w:rsidRPr="004542CF" w:rsidRDefault="004542CF" w:rsidP="004542CF">
      <w:pPr>
        <w:pStyle w:val="Sinespaciado"/>
        <w:jc w:val="both"/>
        <w:rPr>
          <w:rFonts w:ascii="Arial" w:hAnsi="Arial" w:cs="Arial"/>
        </w:rPr>
      </w:pPr>
      <w:r w:rsidRPr="004542CF">
        <w:rPr>
          <w:rFonts w:ascii="Arial" w:hAnsi="Arial" w:cs="Arial"/>
          <w:b/>
        </w:rPr>
        <w:t>Parágrafo 1.</w:t>
      </w:r>
      <w:r w:rsidRPr="004542CF">
        <w:rPr>
          <w:rFonts w:ascii="Arial" w:hAnsi="Arial" w:cs="Arial"/>
        </w:rPr>
        <w:t xml:space="preserve"> Para los municipios de categorías cuatro (4), cinco (5) y seis (6) que implementen la presente ley la autoridad responsable será la Secretaría de Salud del orden departamental. </w:t>
      </w:r>
    </w:p>
    <w:p w14:paraId="1DF5F660" w14:textId="77777777" w:rsidR="004542CF" w:rsidRDefault="004542CF" w:rsidP="004542CF">
      <w:pPr>
        <w:pStyle w:val="Sinespaciado"/>
        <w:jc w:val="both"/>
        <w:rPr>
          <w:rFonts w:ascii="Arial" w:hAnsi="Arial" w:cs="Arial"/>
          <w:b/>
        </w:rPr>
      </w:pPr>
    </w:p>
    <w:p w14:paraId="4D0FBBA5" w14:textId="2D8D39FA" w:rsidR="004542CF" w:rsidRPr="004542CF" w:rsidRDefault="004542CF" w:rsidP="004542CF">
      <w:pPr>
        <w:pStyle w:val="Sinespaciado"/>
        <w:jc w:val="both"/>
        <w:rPr>
          <w:rFonts w:ascii="Arial" w:hAnsi="Arial" w:cs="Arial"/>
        </w:rPr>
      </w:pPr>
      <w:r w:rsidRPr="004542CF">
        <w:rPr>
          <w:rFonts w:ascii="Arial" w:hAnsi="Arial" w:cs="Arial"/>
          <w:b/>
        </w:rPr>
        <w:t>Parágrafo 2.</w:t>
      </w:r>
      <w:r w:rsidRPr="004542CF">
        <w:rPr>
          <w:rFonts w:ascii="Arial" w:hAnsi="Arial" w:cs="Arial"/>
        </w:rPr>
        <w:t xml:space="preserve"> En aquellos municipios sujetos a supervisión por parte de la Secretaría de Salud de orden departamental, la Gobernación podrá realizar inversión directa en la instalación de bebederos de agua de conformidad con las reglas previstas en la presente ley.</w:t>
      </w:r>
    </w:p>
    <w:p w14:paraId="242761DF" w14:textId="77777777" w:rsidR="004542CF" w:rsidRDefault="004542CF" w:rsidP="004542CF">
      <w:pPr>
        <w:pStyle w:val="Sinespaciado"/>
        <w:jc w:val="both"/>
        <w:rPr>
          <w:rFonts w:ascii="Arial" w:hAnsi="Arial" w:cs="Arial"/>
          <w:b/>
        </w:rPr>
      </w:pPr>
    </w:p>
    <w:p w14:paraId="6F9E9968" w14:textId="7FF99072" w:rsidR="004542CF" w:rsidRPr="004542CF" w:rsidRDefault="004542CF" w:rsidP="004542CF">
      <w:pPr>
        <w:pStyle w:val="Sinespaciado"/>
        <w:jc w:val="both"/>
        <w:rPr>
          <w:rFonts w:ascii="Arial" w:hAnsi="Arial" w:cs="Arial"/>
        </w:rPr>
      </w:pPr>
      <w:r w:rsidRPr="004542CF">
        <w:rPr>
          <w:rFonts w:ascii="Arial" w:hAnsi="Arial" w:cs="Arial"/>
          <w:b/>
        </w:rPr>
        <w:t>Parágrafo 3.</w:t>
      </w:r>
      <w:r w:rsidRPr="004542CF">
        <w:rPr>
          <w:rFonts w:ascii="Arial" w:hAnsi="Arial" w:cs="Arial"/>
        </w:rPr>
        <w:t xml:space="preserve"> Las autoridades mencionadas en este artículo serán las responsables sobre la divulgación del buen uso y cuidado de los bebederos de agua y los beneficios de hidratación adecuada y oportuna en salud de la población</w:t>
      </w:r>
    </w:p>
    <w:p w14:paraId="32701D46" w14:textId="77777777" w:rsidR="004542CF" w:rsidRPr="004542CF" w:rsidRDefault="004542CF" w:rsidP="004542CF">
      <w:pPr>
        <w:pStyle w:val="Sinespaciado"/>
        <w:jc w:val="both"/>
        <w:rPr>
          <w:rFonts w:ascii="Arial" w:hAnsi="Arial" w:cs="Arial"/>
        </w:rPr>
      </w:pPr>
    </w:p>
    <w:p w14:paraId="121FCEE3" w14:textId="77777777" w:rsidR="004542CF" w:rsidRPr="004542CF" w:rsidRDefault="004542CF" w:rsidP="004542CF">
      <w:pPr>
        <w:pStyle w:val="Sinespaciado"/>
        <w:jc w:val="both"/>
        <w:rPr>
          <w:rFonts w:ascii="Arial" w:hAnsi="Arial" w:cs="Arial"/>
        </w:rPr>
      </w:pPr>
      <w:r w:rsidRPr="004542CF">
        <w:rPr>
          <w:rFonts w:ascii="Arial" w:hAnsi="Arial" w:cs="Arial"/>
        </w:rPr>
        <w:t xml:space="preserve"> </w:t>
      </w:r>
      <w:r w:rsidRPr="004542CF">
        <w:rPr>
          <w:rFonts w:ascii="Arial" w:hAnsi="Arial" w:cs="Arial"/>
          <w:b/>
        </w:rPr>
        <w:t>Artículo 7°. - Obligaciones.</w:t>
      </w:r>
      <w:r w:rsidRPr="004542CF">
        <w:rPr>
          <w:rFonts w:ascii="Arial" w:hAnsi="Arial" w:cs="Arial"/>
        </w:rPr>
        <w:t xml:space="preserve"> Las autoridades responsables tendrán a cargo las siguientes obligaciones: </w:t>
      </w:r>
    </w:p>
    <w:p w14:paraId="6950A6BD" w14:textId="77777777" w:rsidR="004542CF" w:rsidRPr="004542CF" w:rsidRDefault="004542CF" w:rsidP="004542CF">
      <w:pPr>
        <w:pStyle w:val="Sinespaciado"/>
        <w:jc w:val="both"/>
        <w:rPr>
          <w:rFonts w:ascii="Arial" w:hAnsi="Arial" w:cs="Arial"/>
        </w:rPr>
      </w:pPr>
    </w:p>
    <w:p w14:paraId="56199D6A" w14:textId="09031672" w:rsidR="004542CF" w:rsidRPr="004542CF" w:rsidRDefault="004542CF" w:rsidP="004542CF">
      <w:pPr>
        <w:pStyle w:val="Sinespaciado"/>
        <w:numPr>
          <w:ilvl w:val="0"/>
          <w:numId w:val="50"/>
        </w:numPr>
        <w:jc w:val="both"/>
        <w:rPr>
          <w:rFonts w:ascii="Arial" w:hAnsi="Arial" w:cs="Arial"/>
        </w:rPr>
      </w:pPr>
      <w:r w:rsidRPr="004542CF">
        <w:rPr>
          <w:rFonts w:ascii="Arial" w:hAnsi="Arial" w:cs="Arial"/>
        </w:rPr>
        <w:t>Secretaría de Planeación, o quien haga sus veces en el nivel territorial correspondiente: Se encargará de establecer la ubicación y el número de bebederos de agua a instalar, de acuerdo con lo establecido en los artículos 2, 4 y 5. Para lo cual contará con el término de un año a partir de la expedición de la presente ley.</w:t>
      </w:r>
    </w:p>
    <w:p w14:paraId="2FB8D5E8" w14:textId="77777777" w:rsidR="004542CF" w:rsidRPr="004542CF" w:rsidRDefault="004542CF" w:rsidP="004542CF">
      <w:pPr>
        <w:pStyle w:val="Sinespaciado"/>
        <w:jc w:val="both"/>
        <w:rPr>
          <w:rFonts w:ascii="Arial" w:hAnsi="Arial" w:cs="Arial"/>
        </w:rPr>
      </w:pPr>
    </w:p>
    <w:p w14:paraId="60F2FC6C" w14:textId="6767C7D2" w:rsidR="004542CF" w:rsidRPr="004542CF" w:rsidRDefault="004542CF" w:rsidP="004542CF">
      <w:pPr>
        <w:pStyle w:val="Sinespaciado"/>
        <w:numPr>
          <w:ilvl w:val="0"/>
          <w:numId w:val="50"/>
        </w:numPr>
        <w:jc w:val="both"/>
        <w:rPr>
          <w:rFonts w:ascii="Arial" w:hAnsi="Arial" w:cs="Arial"/>
        </w:rPr>
      </w:pPr>
      <w:r w:rsidRPr="004542CF">
        <w:rPr>
          <w:rFonts w:ascii="Arial" w:hAnsi="Arial" w:cs="Arial"/>
        </w:rPr>
        <w:t>Secretaría de Hábitat, o quien haga sus veces en el nivel territorial correspondiente: Se encargará de instalar, acondicionar y mantener en buen funcionamiento los bebederos de agua a los que se refiere la presente ley.</w:t>
      </w:r>
    </w:p>
    <w:p w14:paraId="64CA9E96" w14:textId="77777777" w:rsidR="004542CF" w:rsidRPr="004542CF" w:rsidRDefault="004542CF" w:rsidP="004542CF">
      <w:pPr>
        <w:pStyle w:val="Sinespaciado"/>
        <w:jc w:val="both"/>
        <w:rPr>
          <w:rFonts w:ascii="Arial" w:hAnsi="Arial" w:cs="Arial"/>
          <w:color w:val="000000"/>
        </w:rPr>
      </w:pPr>
    </w:p>
    <w:p w14:paraId="4C32DB26" w14:textId="77777777" w:rsidR="004542CF" w:rsidRPr="004542CF" w:rsidRDefault="004542CF" w:rsidP="004542CF">
      <w:pPr>
        <w:pStyle w:val="Sinespaciado"/>
        <w:numPr>
          <w:ilvl w:val="0"/>
          <w:numId w:val="50"/>
        </w:numPr>
        <w:jc w:val="both"/>
        <w:rPr>
          <w:rFonts w:ascii="Arial" w:hAnsi="Arial" w:cs="Arial"/>
          <w:color w:val="000000"/>
        </w:rPr>
      </w:pPr>
      <w:r w:rsidRPr="004542CF">
        <w:rPr>
          <w:rFonts w:ascii="Arial" w:hAnsi="Arial" w:cs="Arial"/>
          <w:color w:val="000000"/>
        </w:rPr>
        <w:t>Secretaría de Salud: Se encargará de inspeccionar, vigilar y controlar los aspectos sanitarios de los bebederos de agua</w:t>
      </w:r>
    </w:p>
    <w:p w14:paraId="560E27E8" w14:textId="77777777" w:rsidR="004542CF" w:rsidRPr="004542CF" w:rsidRDefault="004542CF" w:rsidP="004542CF">
      <w:pPr>
        <w:pStyle w:val="Sinespaciado"/>
        <w:jc w:val="both"/>
        <w:rPr>
          <w:rFonts w:ascii="Arial" w:hAnsi="Arial" w:cs="Arial"/>
          <w:b/>
        </w:rPr>
      </w:pPr>
    </w:p>
    <w:p w14:paraId="781DC6B8" w14:textId="77777777" w:rsidR="004542CF" w:rsidRPr="004542CF" w:rsidRDefault="004542CF" w:rsidP="004542CF">
      <w:pPr>
        <w:pStyle w:val="Sinespaciado"/>
        <w:jc w:val="both"/>
        <w:rPr>
          <w:rFonts w:ascii="Arial" w:hAnsi="Arial" w:cs="Arial"/>
        </w:rPr>
      </w:pPr>
      <w:r w:rsidRPr="004542CF">
        <w:rPr>
          <w:rFonts w:ascii="Arial" w:hAnsi="Arial" w:cs="Arial"/>
          <w:b/>
        </w:rPr>
        <w:t>Artículo 8°. - Plazo.</w:t>
      </w:r>
      <w:r w:rsidRPr="004542CF">
        <w:rPr>
          <w:rFonts w:ascii="Arial" w:hAnsi="Arial" w:cs="Arial"/>
        </w:rPr>
        <w:t xml:space="preserve"> Los bebederos deben estar instalados en el transcurso de dos (2) años contados desde el momento de la promulgación de la presente ley de acuerdo con las condiciones presupuestarias previstas en el artículo 8 de la presente ley.</w:t>
      </w:r>
    </w:p>
    <w:p w14:paraId="7B332EBA" w14:textId="77777777" w:rsidR="004542CF" w:rsidRDefault="004542CF" w:rsidP="004542CF">
      <w:pPr>
        <w:pStyle w:val="Sinespaciado"/>
        <w:jc w:val="both"/>
        <w:rPr>
          <w:rFonts w:ascii="Arial" w:hAnsi="Arial" w:cs="Arial"/>
          <w:b/>
        </w:rPr>
      </w:pPr>
    </w:p>
    <w:p w14:paraId="295D8013" w14:textId="75FCB831" w:rsidR="004542CF" w:rsidRPr="004542CF" w:rsidRDefault="004542CF" w:rsidP="004542CF">
      <w:pPr>
        <w:pStyle w:val="Sinespaciado"/>
        <w:jc w:val="both"/>
        <w:rPr>
          <w:rFonts w:ascii="Arial" w:hAnsi="Arial" w:cs="Arial"/>
        </w:rPr>
      </w:pPr>
      <w:r w:rsidRPr="004542CF">
        <w:rPr>
          <w:rFonts w:ascii="Arial" w:hAnsi="Arial" w:cs="Arial"/>
          <w:b/>
        </w:rPr>
        <w:t>Artículo 9°. -</w:t>
      </w:r>
      <w:r w:rsidRPr="004542CF">
        <w:rPr>
          <w:rFonts w:ascii="Arial" w:hAnsi="Arial" w:cs="Arial"/>
        </w:rPr>
        <w:t xml:space="preserve"> </w:t>
      </w:r>
      <w:r w:rsidRPr="004542CF">
        <w:rPr>
          <w:rFonts w:ascii="Arial" w:hAnsi="Arial" w:cs="Arial"/>
          <w:b/>
        </w:rPr>
        <w:t>Partidas presupuestarias.</w:t>
      </w:r>
      <w:r w:rsidRPr="004542CF">
        <w:rPr>
          <w:rFonts w:ascii="Arial" w:hAnsi="Arial" w:cs="Arial"/>
        </w:rPr>
        <w:t xml:space="preserve"> La instalación de la infraestructura necesaria podrá emplear recursos de regalías, donaciones o transferencias por agua y saneamiento básico siempre que se haya satisfecho la cobertura en materia de acceso al agua potable para la población vulnerable de la entidad territorial.  </w:t>
      </w:r>
    </w:p>
    <w:p w14:paraId="5E8DB255" w14:textId="77777777" w:rsidR="004542CF" w:rsidRDefault="004542CF" w:rsidP="004542CF">
      <w:pPr>
        <w:pStyle w:val="Sinespaciado"/>
        <w:jc w:val="both"/>
        <w:rPr>
          <w:rFonts w:ascii="Arial" w:hAnsi="Arial" w:cs="Arial"/>
          <w:b/>
        </w:rPr>
      </w:pPr>
    </w:p>
    <w:p w14:paraId="03071CDE" w14:textId="75948A61" w:rsidR="004542CF" w:rsidRPr="004542CF" w:rsidRDefault="004542CF" w:rsidP="004542CF">
      <w:pPr>
        <w:pStyle w:val="Sinespaciado"/>
        <w:jc w:val="both"/>
        <w:rPr>
          <w:rFonts w:ascii="Arial" w:hAnsi="Arial" w:cs="Arial"/>
        </w:rPr>
      </w:pPr>
      <w:r w:rsidRPr="004542CF">
        <w:rPr>
          <w:rFonts w:ascii="Arial" w:hAnsi="Arial" w:cs="Arial"/>
          <w:b/>
        </w:rPr>
        <w:lastRenderedPageBreak/>
        <w:t>Artículo 10°. -</w:t>
      </w:r>
      <w:r w:rsidRPr="004542CF">
        <w:rPr>
          <w:rFonts w:ascii="Arial" w:hAnsi="Arial" w:cs="Arial"/>
        </w:rPr>
        <w:t xml:space="preserve"> Las disposiciones previstas en la presente ley rigen de forma obligatoria para aquellos municipios o distritos de categoría uno, dos y tres, o especial equivalente. Para los demás municipios la adopción de las disposiciones contenidas en el presente proyecto de ley será optativa.</w:t>
      </w:r>
    </w:p>
    <w:p w14:paraId="6A428368" w14:textId="77777777" w:rsidR="004542CF" w:rsidRDefault="004542CF" w:rsidP="004542CF">
      <w:pPr>
        <w:pStyle w:val="Sinespaciado"/>
        <w:jc w:val="both"/>
        <w:rPr>
          <w:rFonts w:ascii="Arial" w:hAnsi="Arial" w:cs="Arial"/>
          <w:b/>
        </w:rPr>
      </w:pPr>
      <w:r w:rsidRPr="004542CF">
        <w:rPr>
          <w:rFonts w:ascii="Arial" w:hAnsi="Arial" w:cs="Arial"/>
          <w:b/>
        </w:rPr>
        <w:t xml:space="preserve"> </w:t>
      </w:r>
    </w:p>
    <w:p w14:paraId="42EB1A75" w14:textId="7CFF53E5" w:rsidR="004542CF" w:rsidRPr="004542CF" w:rsidRDefault="004542CF" w:rsidP="004542CF">
      <w:pPr>
        <w:pStyle w:val="Sinespaciado"/>
        <w:jc w:val="both"/>
        <w:rPr>
          <w:rFonts w:ascii="Arial" w:hAnsi="Arial" w:cs="Arial"/>
        </w:rPr>
      </w:pPr>
      <w:r w:rsidRPr="004542CF">
        <w:rPr>
          <w:rFonts w:ascii="Arial" w:hAnsi="Arial" w:cs="Arial"/>
          <w:b/>
        </w:rPr>
        <w:t>Artículo 11°. - Vigencias y derogatorias.</w:t>
      </w:r>
      <w:r w:rsidRPr="004542CF">
        <w:rPr>
          <w:rFonts w:ascii="Arial" w:hAnsi="Arial" w:cs="Arial"/>
        </w:rPr>
        <w:t xml:space="preserve"> La presente ley rige a partir de su publicación y deroga las disposiciones que le sean contrarias.</w:t>
      </w:r>
    </w:p>
    <w:p w14:paraId="5062E1FB" w14:textId="77777777" w:rsidR="004542CF" w:rsidRPr="004542CF" w:rsidRDefault="004542CF" w:rsidP="004542CF">
      <w:pPr>
        <w:pStyle w:val="Sinespaciado"/>
        <w:jc w:val="both"/>
        <w:rPr>
          <w:rFonts w:ascii="Arial" w:hAnsi="Arial" w:cs="Arial"/>
          <w:b/>
          <w:color w:val="000000"/>
        </w:rPr>
      </w:pPr>
    </w:p>
    <w:p w14:paraId="7C84451A" w14:textId="77777777" w:rsidR="004542CF" w:rsidRPr="004542CF" w:rsidRDefault="004542CF" w:rsidP="004542CF">
      <w:pPr>
        <w:pStyle w:val="Sinespaciado"/>
        <w:jc w:val="both"/>
        <w:rPr>
          <w:rFonts w:ascii="Arial" w:hAnsi="Arial" w:cs="Arial"/>
          <w:b/>
          <w:color w:val="000000"/>
        </w:rPr>
      </w:pPr>
    </w:p>
    <w:p w14:paraId="795BFE5D" w14:textId="77777777" w:rsidR="004542CF" w:rsidRPr="004542CF" w:rsidRDefault="004542CF" w:rsidP="004542CF">
      <w:pPr>
        <w:pStyle w:val="Sinespaciado"/>
        <w:jc w:val="both"/>
        <w:rPr>
          <w:rFonts w:ascii="Arial" w:hAnsi="Arial" w:cs="Arial"/>
          <w:color w:val="000000"/>
        </w:rPr>
      </w:pPr>
    </w:p>
    <w:p w14:paraId="50C0B561" w14:textId="77777777" w:rsidR="004542CF" w:rsidRPr="004542CF" w:rsidRDefault="004542CF" w:rsidP="004542CF">
      <w:pPr>
        <w:pStyle w:val="Sinespaciado"/>
        <w:jc w:val="both"/>
        <w:rPr>
          <w:rFonts w:ascii="Arial" w:hAnsi="Arial" w:cs="Arial"/>
          <w:color w:val="000000"/>
        </w:rPr>
      </w:pPr>
    </w:p>
    <w:p w14:paraId="0BFB2787" w14:textId="77777777" w:rsidR="004542CF" w:rsidRPr="004542CF" w:rsidRDefault="004542CF" w:rsidP="004542CF">
      <w:pPr>
        <w:pStyle w:val="Sinespaciado"/>
        <w:jc w:val="both"/>
        <w:rPr>
          <w:rFonts w:ascii="Arial" w:hAnsi="Arial" w:cs="Arial"/>
          <w:color w:val="000000"/>
        </w:rPr>
      </w:pPr>
    </w:p>
    <w:p w14:paraId="5180FCDE" w14:textId="05EA3938" w:rsidR="004542CF" w:rsidRPr="00506BC5" w:rsidRDefault="004542CF" w:rsidP="004542CF">
      <w:pPr>
        <w:pStyle w:val="Sinespaciado"/>
        <w:rPr>
          <w:rFonts w:ascii="Arial" w:hAnsi="Arial" w:cs="Arial"/>
          <w:b/>
          <w:bCs/>
        </w:rPr>
      </w:pPr>
      <w:r w:rsidRPr="004542CF">
        <w:rPr>
          <w:rFonts w:ascii="Arial" w:hAnsi="Arial" w:cs="Arial"/>
          <w:b/>
        </w:rPr>
        <w:t>FABIÁN DÍAZ PLATA</w:t>
      </w:r>
      <w:r>
        <w:rPr>
          <w:rFonts w:ascii="Arial" w:hAnsi="Arial" w:cs="Arial"/>
        </w:rPr>
        <w:tab/>
      </w:r>
      <w:r>
        <w:rPr>
          <w:rFonts w:ascii="Arial" w:hAnsi="Arial" w:cs="Arial"/>
        </w:rPr>
        <w:tab/>
      </w:r>
      <w:r>
        <w:rPr>
          <w:rFonts w:ascii="Arial" w:hAnsi="Arial" w:cs="Arial"/>
        </w:rPr>
        <w:tab/>
      </w:r>
      <w:r>
        <w:rPr>
          <w:rFonts w:ascii="Arial" w:hAnsi="Arial" w:cs="Arial"/>
        </w:rPr>
        <w:tab/>
      </w:r>
      <w:r w:rsidRPr="00506BC5">
        <w:rPr>
          <w:rFonts w:ascii="Arial" w:hAnsi="Arial" w:cs="Arial"/>
          <w:b/>
          <w:bCs/>
        </w:rPr>
        <w:t xml:space="preserve">JUAN CARLOS REINALES AGUDELO </w:t>
      </w:r>
    </w:p>
    <w:p w14:paraId="4739AB8C" w14:textId="1A889C8B" w:rsidR="004542CF" w:rsidRPr="004542CF" w:rsidRDefault="004542CF" w:rsidP="004542CF">
      <w:pPr>
        <w:pStyle w:val="Sinespaciado"/>
        <w:jc w:val="both"/>
        <w:rPr>
          <w:rFonts w:ascii="Arial" w:hAnsi="Arial" w:cs="Arial"/>
        </w:rPr>
      </w:pPr>
      <w:r w:rsidRPr="00506BC5">
        <w:rPr>
          <w:rFonts w:ascii="Arial" w:hAnsi="Arial" w:cs="Arial"/>
        </w:rPr>
        <w:t>Representante a la Cámara</w:t>
      </w:r>
      <w:r>
        <w:rPr>
          <w:rFonts w:ascii="Arial" w:hAnsi="Arial" w:cs="Arial"/>
        </w:rPr>
        <w:t xml:space="preserve">                                     </w:t>
      </w:r>
      <w:r w:rsidRPr="004542CF">
        <w:rPr>
          <w:rFonts w:ascii="Arial" w:hAnsi="Arial" w:cs="Arial"/>
        </w:rPr>
        <w:t>Representante a la cámara</w:t>
      </w:r>
    </w:p>
    <w:p w14:paraId="1473C547" w14:textId="77777777" w:rsidR="007A2464" w:rsidRPr="007A2464" w:rsidRDefault="007A2464" w:rsidP="007A2464">
      <w:pPr>
        <w:pStyle w:val="Sinespaciado"/>
        <w:jc w:val="both"/>
        <w:rPr>
          <w:rFonts w:ascii="Arial" w:hAnsi="Arial" w:cs="Arial"/>
          <w:b/>
          <w:lang w:eastAsia="es-ES"/>
        </w:rPr>
      </w:pPr>
    </w:p>
    <w:p w14:paraId="3863F5D5" w14:textId="2032743D" w:rsidR="007A2464" w:rsidRDefault="007A2464" w:rsidP="007A2464">
      <w:pPr>
        <w:pStyle w:val="Sinespaciado"/>
        <w:jc w:val="both"/>
        <w:rPr>
          <w:rFonts w:ascii="Arial" w:hAnsi="Arial" w:cs="Arial"/>
          <w:b/>
          <w:lang w:eastAsia="es-ES"/>
        </w:rPr>
      </w:pPr>
    </w:p>
    <w:p w14:paraId="4AA1FE55" w14:textId="77777777" w:rsidR="007A6414" w:rsidRPr="007A2464" w:rsidRDefault="007A6414" w:rsidP="007A2464">
      <w:pPr>
        <w:pStyle w:val="Sinespaciado"/>
        <w:jc w:val="both"/>
        <w:rPr>
          <w:rFonts w:ascii="Arial" w:hAnsi="Arial" w:cs="Arial"/>
          <w:b/>
          <w:lang w:eastAsia="es-ES"/>
        </w:rPr>
      </w:pPr>
    </w:p>
    <w:p w14:paraId="6DDAB954" w14:textId="77777777" w:rsidR="007A2464" w:rsidRPr="007A2464" w:rsidRDefault="007A2464" w:rsidP="007A2464">
      <w:pPr>
        <w:pStyle w:val="Sinespaciado"/>
        <w:jc w:val="both"/>
        <w:rPr>
          <w:rFonts w:ascii="Arial" w:hAnsi="Arial" w:cs="Arial"/>
          <w:b/>
          <w:lang w:eastAsia="es-ES"/>
        </w:rPr>
      </w:pPr>
    </w:p>
    <w:p w14:paraId="4CBC58A0" w14:textId="77777777" w:rsidR="00506BC5" w:rsidRDefault="00506BC5" w:rsidP="00506BC5">
      <w:pPr>
        <w:pStyle w:val="Sinespaciado"/>
        <w:rPr>
          <w:rFonts w:ascii="Arial" w:hAnsi="Arial" w:cs="Arial"/>
          <w:b/>
          <w:bCs/>
        </w:rPr>
        <w:sectPr w:rsidR="00506BC5" w:rsidSect="00503697">
          <w:headerReference w:type="default" r:id="rId8"/>
          <w:footerReference w:type="default" r:id="rId9"/>
          <w:pgSz w:w="12240" w:h="15840" w:code="1"/>
          <w:pgMar w:top="1531" w:right="1134" w:bottom="567" w:left="1588" w:header="510" w:footer="397" w:gutter="0"/>
          <w:cols w:space="708"/>
          <w:docGrid w:linePitch="360"/>
        </w:sectPr>
      </w:pPr>
    </w:p>
    <w:p w14:paraId="7EC4BAB3" w14:textId="77777777" w:rsidR="00506BC5" w:rsidRPr="00506BC5" w:rsidRDefault="00506BC5" w:rsidP="00506BC5">
      <w:pPr>
        <w:jc w:val="both"/>
        <w:rPr>
          <w:rFonts w:ascii="Arial" w:hAnsi="Arial" w:cs="Arial"/>
        </w:rPr>
      </w:pPr>
      <w:r w:rsidRPr="00506BC5">
        <w:rPr>
          <w:rFonts w:ascii="Arial" w:hAnsi="Arial" w:cs="Arial"/>
        </w:rPr>
        <w:t xml:space="preserve">                                    </w:t>
      </w:r>
    </w:p>
    <w:p w14:paraId="6AF85903" w14:textId="3CF13ADD" w:rsidR="00506BC5" w:rsidRPr="00506BC5" w:rsidRDefault="00506BC5" w:rsidP="00506BC5">
      <w:pPr>
        <w:pStyle w:val="Sinespaciado"/>
        <w:rPr>
          <w:rFonts w:ascii="Arial" w:hAnsi="Arial" w:cs="Arial"/>
        </w:rPr>
      </w:pPr>
      <w:r w:rsidRPr="00506BC5">
        <w:rPr>
          <w:rFonts w:ascii="Arial" w:hAnsi="Arial" w:cs="Arial"/>
        </w:rPr>
        <w:t xml:space="preserve"> </w:t>
      </w:r>
    </w:p>
    <w:p w14:paraId="66331814" w14:textId="77777777" w:rsidR="00506BC5" w:rsidRDefault="00506BC5" w:rsidP="003730B4">
      <w:pPr>
        <w:pStyle w:val="Sinespaciado"/>
        <w:jc w:val="both"/>
        <w:rPr>
          <w:rFonts w:ascii="Arial" w:hAnsi="Arial" w:cs="Arial"/>
          <w:lang w:eastAsia="es-ES"/>
        </w:rPr>
        <w:sectPr w:rsidR="00506BC5" w:rsidSect="00506BC5">
          <w:type w:val="continuous"/>
          <w:pgSz w:w="12240" w:h="15840" w:code="1"/>
          <w:pgMar w:top="1531" w:right="1134" w:bottom="567" w:left="1588" w:header="510" w:footer="397" w:gutter="0"/>
          <w:cols w:num="2" w:space="708"/>
          <w:docGrid w:linePitch="360"/>
        </w:sectPr>
      </w:pPr>
    </w:p>
    <w:p w14:paraId="0C7B3FE3" w14:textId="70A0DC5F" w:rsidR="003A0E0F" w:rsidRPr="003730B4" w:rsidRDefault="003A0E0F" w:rsidP="003730B4">
      <w:pPr>
        <w:pStyle w:val="Sinespaciado"/>
        <w:jc w:val="both"/>
        <w:rPr>
          <w:rFonts w:ascii="Arial" w:hAnsi="Arial" w:cs="Arial"/>
          <w:lang w:eastAsia="es-ES"/>
        </w:rPr>
      </w:pPr>
    </w:p>
    <w:sectPr w:rsidR="003A0E0F" w:rsidRPr="003730B4" w:rsidSect="00506BC5">
      <w:type w:val="continuous"/>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6A71A" w14:textId="77777777" w:rsidR="006D5B6A" w:rsidRDefault="006D5B6A" w:rsidP="001A75AA">
      <w:pPr>
        <w:spacing w:after="0" w:line="240" w:lineRule="auto"/>
      </w:pPr>
      <w:r>
        <w:separator/>
      </w:r>
    </w:p>
  </w:endnote>
  <w:endnote w:type="continuationSeparator" w:id="0">
    <w:p w14:paraId="0BB9D362" w14:textId="77777777" w:rsidR="006D5B6A" w:rsidRDefault="006D5B6A"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D26D6" w14:textId="77777777" w:rsidR="006D5B6A" w:rsidRDefault="006D5B6A" w:rsidP="001A75AA">
      <w:pPr>
        <w:spacing w:after="0" w:line="240" w:lineRule="auto"/>
      </w:pPr>
      <w:r>
        <w:separator/>
      </w:r>
    </w:p>
  </w:footnote>
  <w:footnote w:type="continuationSeparator" w:id="0">
    <w:p w14:paraId="3911D720" w14:textId="77777777" w:rsidR="006D5B6A" w:rsidRDefault="006D5B6A"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FD"/>
    <w:multiLevelType w:val="hybridMultilevel"/>
    <w:tmpl w:val="538EC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1715BE"/>
    <w:multiLevelType w:val="hybridMultilevel"/>
    <w:tmpl w:val="8D6E5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6F3532"/>
    <w:multiLevelType w:val="hybridMultilevel"/>
    <w:tmpl w:val="09D459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3" w15:restartNumberingAfterBreak="0">
    <w:nsid w:val="238E377E"/>
    <w:multiLevelType w:val="multilevel"/>
    <w:tmpl w:val="4888FF44"/>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B229E3"/>
    <w:multiLevelType w:val="hybridMultilevel"/>
    <w:tmpl w:val="2CE01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0A52B81"/>
    <w:multiLevelType w:val="hybridMultilevel"/>
    <w:tmpl w:val="82A0C5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172637B"/>
    <w:multiLevelType w:val="hybridMultilevel"/>
    <w:tmpl w:val="565456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5"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3ED7FA1"/>
    <w:multiLevelType w:val="hybridMultilevel"/>
    <w:tmpl w:val="399C7E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1"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42"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9"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1"/>
  </w:num>
  <w:num w:numId="2">
    <w:abstractNumId w:val="42"/>
  </w:num>
  <w:num w:numId="3">
    <w:abstractNumId w:val="5"/>
  </w:num>
  <w:num w:numId="4">
    <w:abstractNumId w:val="22"/>
  </w:num>
  <w:num w:numId="5">
    <w:abstractNumId w:val="1"/>
  </w:num>
  <w:num w:numId="6">
    <w:abstractNumId w:val="28"/>
  </w:num>
  <w:num w:numId="7">
    <w:abstractNumId w:val="49"/>
  </w:num>
  <w:num w:numId="8">
    <w:abstractNumId w:val="8"/>
  </w:num>
  <w:num w:numId="9">
    <w:abstractNumId w:val="7"/>
  </w:num>
  <w:num w:numId="10">
    <w:abstractNumId w:val="37"/>
  </w:num>
  <w:num w:numId="11">
    <w:abstractNumId w:val="46"/>
  </w:num>
  <w:num w:numId="12">
    <w:abstractNumId w:val="19"/>
  </w:num>
  <w:num w:numId="13">
    <w:abstractNumId w:val="11"/>
  </w:num>
  <w:num w:numId="14">
    <w:abstractNumId w:val="23"/>
  </w:num>
  <w:num w:numId="15">
    <w:abstractNumId w:val="18"/>
  </w:num>
  <w:num w:numId="16">
    <w:abstractNumId w:val="45"/>
  </w:num>
  <w:num w:numId="17">
    <w:abstractNumId w:val="33"/>
  </w:num>
  <w:num w:numId="18">
    <w:abstractNumId w:val="29"/>
  </w:num>
  <w:num w:numId="19">
    <w:abstractNumId w:val="35"/>
  </w:num>
  <w:num w:numId="20">
    <w:abstractNumId w:val="47"/>
  </w:num>
  <w:num w:numId="21">
    <w:abstractNumId w:val="3"/>
  </w:num>
  <w:num w:numId="22">
    <w:abstractNumId w:val="20"/>
  </w:num>
  <w:num w:numId="23">
    <w:abstractNumId w:val="9"/>
  </w:num>
  <w:num w:numId="24">
    <w:abstractNumId w:val="43"/>
  </w:num>
  <w:num w:numId="25">
    <w:abstractNumId w:val="21"/>
  </w:num>
  <w:num w:numId="26">
    <w:abstractNumId w:val="4"/>
  </w:num>
  <w:num w:numId="27">
    <w:abstractNumId w:val="2"/>
  </w:num>
  <w:num w:numId="28">
    <w:abstractNumId w:val="39"/>
  </w:num>
  <w:num w:numId="29">
    <w:abstractNumId w:val="14"/>
  </w:num>
  <w:num w:numId="30">
    <w:abstractNumId w:val="27"/>
  </w:num>
  <w:num w:numId="31">
    <w:abstractNumId w:val="16"/>
  </w:num>
  <w:num w:numId="32">
    <w:abstractNumId w:val="41"/>
  </w:num>
  <w:num w:numId="33">
    <w:abstractNumId w:val="34"/>
  </w:num>
  <w:num w:numId="34">
    <w:abstractNumId w:val="40"/>
  </w:num>
  <w:num w:numId="35">
    <w:abstractNumId w:val="48"/>
  </w:num>
  <w:num w:numId="36">
    <w:abstractNumId w:val="44"/>
  </w:num>
  <w:num w:numId="37">
    <w:abstractNumId w:val="38"/>
  </w:num>
  <w:num w:numId="38">
    <w:abstractNumId w:val="15"/>
  </w:num>
  <w:num w:numId="39">
    <w:abstractNumId w:val="26"/>
  </w:num>
  <w:num w:numId="40">
    <w:abstractNumId w:val="32"/>
  </w:num>
  <w:num w:numId="41">
    <w:abstractNumId w:val="12"/>
  </w:num>
  <w:num w:numId="42">
    <w:abstractNumId w:val="30"/>
  </w:num>
  <w:num w:numId="43">
    <w:abstractNumId w:val="6"/>
  </w:num>
  <w:num w:numId="44">
    <w:abstractNumId w:val="0"/>
  </w:num>
  <w:num w:numId="45">
    <w:abstractNumId w:val="36"/>
  </w:num>
  <w:num w:numId="46">
    <w:abstractNumId w:val="17"/>
  </w:num>
  <w:num w:numId="47">
    <w:abstractNumId w:val="25"/>
  </w:num>
  <w:num w:numId="48">
    <w:abstractNumId w:val="24"/>
  </w:num>
  <w:num w:numId="49">
    <w:abstractNumId w:val="13"/>
  </w:num>
  <w:num w:numId="5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4184"/>
    <w:rsid w:val="00017793"/>
    <w:rsid w:val="00021E24"/>
    <w:rsid w:val="00021ED0"/>
    <w:rsid w:val="0002559F"/>
    <w:rsid w:val="00026637"/>
    <w:rsid w:val="00027A7C"/>
    <w:rsid w:val="00032714"/>
    <w:rsid w:val="00044901"/>
    <w:rsid w:val="00045135"/>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254D9"/>
    <w:rsid w:val="00230617"/>
    <w:rsid w:val="00231796"/>
    <w:rsid w:val="00232981"/>
    <w:rsid w:val="0023355F"/>
    <w:rsid w:val="002363A8"/>
    <w:rsid w:val="00236F3E"/>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0361"/>
    <w:rsid w:val="002D12D0"/>
    <w:rsid w:val="002D21E8"/>
    <w:rsid w:val="002D7ECC"/>
    <w:rsid w:val="002E4DA2"/>
    <w:rsid w:val="002E5D0F"/>
    <w:rsid w:val="002F5FB4"/>
    <w:rsid w:val="002F7D2B"/>
    <w:rsid w:val="00305108"/>
    <w:rsid w:val="003124F4"/>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C8B"/>
    <w:rsid w:val="00385D04"/>
    <w:rsid w:val="00391812"/>
    <w:rsid w:val="003A01C5"/>
    <w:rsid w:val="003A0E0F"/>
    <w:rsid w:val="003A26FB"/>
    <w:rsid w:val="003A40D2"/>
    <w:rsid w:val="003A4DEC"/>
    <w:rsid w:val="003A5BB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542CF"/>
    <w:rsid w:val="00460A7A"/>
    <w:rsid w:val="00461494"/>
    <w:rsid w:val="00461A25"/>
    <w:rsid w:val="00465610"/>
    <w:rsid w:val="00465953"/>
    <w:rsid w:val="004704C6"/>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B0683"/>
    <w:rsid w:val="004B1160"/>
    <w:rsid w:val="004B4719"/>
    <w:rsid w:val="004B47F9"/>
    <w:rsid w:val="004B5149"/>
    <w:rsid w:val="004B7885"/>
    <w:rsid w:val="004C12E6"/>
    <w:rsid w:val="004C13EA"/>
    <w:rsid w:val="004C3501"/>
    <w:rsid w:val="004C50F6"/>
    <w:rsid w:val="004C6DF0"/>
    <w:rsid w:val="004E04C3"/>
    <w:rsid w:val="004E674B"/>
    <w:rsid w:val="004E71FD"/>
    <w:rsid w:val="004E7DF6"/>
    <w:rsid w:val="004F1CE6"/>
    <w:rsid w:val="004F1DD5"/>
    <w:rsid w:val="004F215A"/>
    <w:rsid w:val="004F4B33"/>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305D"/>
    <w:rsid w:val="005B29EB"/>
    <w:rsid w:val="005B57AE"/>
    <w:rsid w:val="005B6807"/>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D5B6A"/>
    <w:rsid w:val="006E177A"/>
    <w:rsid w:val="006E1D47"/>
    <w:rsid w:val="006E441E"/>
    <w:rsid w:val="006F021B"/>
    <w:rsid w:val="006F38A8"/>
    <w:rsid w:val="006F6B69"/>
    <w:rsid w:val="0071205D"/>
    <w:rsid w:val="00712430"/>
    <w:rsid w:val="00713DC0"/>
    <w:rsid w:val="00716397"/>
    <w:rsid w:val="007167A5"/>
    <w:rsid w:val="00720ABC"/>
    <w:rsid w:val="00726FA7"/>
    <w:rsid w:val="00734B4F"/>
    <w:rsid w:val="00740BB6"/>
    <w:rsid w:val="00741569"/>
    <w:rsid w:val="00743F79"/>
    <w:rsid w:val="007446C5"/>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5DC3"/>
    <w:rsid w:val="00807628"/>
    <w:rsid w:val="00813DA1"/>
    <w:rsid w:val="0081758C"/>
    <w:rsid w:val="008246B5"/>
    <w:rsid w:val="008255F9"/>
    <w:rsid w:val="00830953"/>
    <w:rsid w:val="00832188"/>
    <w:rsid w:val="00832CEA"/>
    <w:rsid w:val="008356AE"/>
    <w:rsid w:val="00835E75"/>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6B1D"/>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313D"/>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B6D65"/>
    <w:rsid w:val="00AC4F0B"/>
    <w:rsid w:val="00AC5DB8"/>
    <w:rsid w:val="00AD05D9"/>
    <w:rsid w:val="00AD0C6E"/>
    <w:rsid w:val="00AD580C"/>
    <w:rsid w:val="00AE5DE7"/>
    <w:rsid w:val="00AF3851"/>
    <w:rsid w:val="00AF6350"/>
    <w:rsid w:val="00B02E63"/>
    <w:rsid w:val="00B04E91"/>
    <w:rsid w:val="00B14CF6"/>
    <w:rsid w:val="00B20029"/>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36C4E"/>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E58"/>
    <w:rsid w:val="00FE0837"/>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character" w:styleId="Nmerodepgina">
    <w:name w:val="page number"/>
    <w:basedOn w:val="Fuentedeprrafopredeter"/>
    <w:uiPriority w:val="99"/>
    <w:semiHidden/>
    <w:unhideWhenUsed/>
    <w:rsid w:val="0045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457C9-86D6-4152-9CB0-534A622D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967</Words>
  <Characters>5320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7</cp:revision>
  <cp:lastPrinted>2022-04-27T22:30:00Z</cp:lastPrinted>
  <dcterms:created xsi:type="dcterms:W3CDTF">2022-04-27T22:23:00Z</dcterms:created>
  <dcterms:modified xsi:type="dcterms:W3CDTF">2022-05-04T21:41:00Z</dcterms:modified>
</cp:coreProperties>
</file>